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A1" w:rsidRDefault="00DD66A1" w:rsidP="00DD66A1">
      <w:pPr>
        <w:pStyle w:val="Title"/>
      </w:pPr>
      <w:r w:rsidRPr="00DD66A1">
        <w:t>Reduced injection site pain with succinate buffer based adalimumab injection (SUFFER Study)</w:t>
      </w:r>
      <w:r w:rsidR="00C27EF4">
        <w:t xml:space="preserve">: </w:t>
      </w:r>
      <w:r w:rsidR="00C27EF4" w:rsidRPr="00C27EF4">
        <w:t>An observational study</w:t>
      </w:r>
    </w:p>
    <w:p w:rsidR="00FB1717" w:rsidRDefault="00FB1717" w:rsidP="00FB1717">
      <w:pPr>
        <w:pStyle w:val="Heading1"/>
      </w:pPr>
      <w:r>
        <w:t>Background</w:t>
      </w:r>
    </w:p>
    <w:p w:rsidR="00FB1717" w:rsidRDefault="00110B71" w:rsidP="009B0904">
      <w:pPr>
        <w:jc w:val="both"/>
      </w:pPr>
      <w:r>
        <w:t xml:space="preserve">Pain due to subcutaneous injections often leads to patient incompliance. </w:t>
      </w:r>
      <w:r w:rsidR="00A628B9">
        <w:t xml:space="preserve">Advances in formulation of injection </w:t>
      </w:r>
      <w:r w:rsidR="00EB0A63">
        <w:t>are targeted at</w:t>
      </w:r>
      <w:r w:rsidR="00A628B9">
        <w:t xml:space="preserve"> develop</w:t>
      </w:r>
      <w:r w:rsidR="00EB0A63">
        <w:t>ing</w:t>
      </w:r>
      <w:r w:rsidR="00A628B9">
        <w:t xml:space="preserve"> </w:t>
      </w:r>
      <w:proofErr w:type="spellStart"/>
      <w:r w:rsidR="00A628B9">
        <w:t>injectables</w:t>
      </w:r>
      <w:proofErr w:type="spellEnd"/>
      <w:r w:rsidR="009C5F67">
        <w:t>,</w:t>
      </w:r>
      <w:r w:rsidR="00A628B9">
        <w:t xml:space="preserve"> which can cause minimal discomfort. Injection associated discomfort includes local site pain, </w:t>
      </w:r>
      <w:r w:rsidR="00A628B9" w:rsidRPr="00A628B9">
        <w:t>erythema, edema, hematoma and pruritus</w:t>
      </w:r>
      <w:r w:rsidR="00A628B9">
        <w:t xml:space="preserve">. Subcutaneous injections are more painful than any other types. </w:t>
      </w:r>
      <w:r w:rsidR="00EB0A63">
        <w:t>The cause of local injection pain owing to the formulation is unknown; however, it is thought to occur due to any of the following reasons:</w:t>
      </w:r>
      <w:r w:rsidR="00EB0A63" w:rsidRPr="00EB0A63">
        <w:t xml:space="preserve"> injection volume, speed of injection, osmolality, pH, </w:t>
      </w:r>
      <w:r w:rsidR="001C7CA4">
        <w:t xml:space="preserve">anatomical region of </w:t>
      </w:r>
      <w:r w:rsidR="00EB0A63" w:rsidRPr="00EB0A63">
        <w:t xml:space="preserve">injection site, size and quality of injection needle, presence of irritating substances, </w:t>
      </w:r>
      <w:r w:rsidR="001C7CA4" w:rsidRPr="001C7CA4">
        <w:t>individual patient characteristics</w:t>
      </w:r>
      <w:r w:rsidR="001C7CA4">
        <w:t xml:space="preserve">, </w:t>
      </w:r>
      <w:r w:rsidR="001C7CA4" w:rsidRPr="001C7CA4">
        <w:t>frequency of administration</w:t>
      </w:r>
      <w:r w:rsidR="001C7CA4">
        <w:t xml:space="preserve">, </w:t>
      </w:r>
      <w:r w:rsidR="00EB0A63" w:rsidRPr="00EB0A63">
        <w:t>and temperature of the solution</w:t>
      </w:r>
      <w:r w:rsidR="00EB0A63">
        <w:t>.</w:t>
      </w:r>
      <w:r w:rsidR="0010786B">
        <w:rPr>
          <w:vertAlign w:val="superscript"/>
        </w:rPr>
        <w:t>1</w:t>
      </w:r>
      <w:r w:rsidR="00EB0A63">
        <w:t xml:space="preserve"> Buffers are ideally used in injectable formulations to prevent the pH-associated degradation of the act</w:t>
      </w:r>
      <w:r w:rsidR="0011384F">
        <w:t>ive ingredient(s)</w:t>
      </w:r>
      <w:r w:rsidR="00EA2E39">
        <w:t xml:space="preserve"> and improve the stability of the product</w:t>
      </w:r>
      <w:r w:rsidR="0011384F">
        <w:t xml:space="preserve">. The </w:t>
      </w:r>
      <w:r w:rsidR="007F6BC0">
        <w:t xml:space="preserve">choice of buffers includes </w:t>
      </w:r>
      <w:r w:rsidR="00EA2E39">
        <w:t xml:space="preserve">citrates, </w:t>
      </w:r>
      <w:r w:rsidR="00FD13E6">
        <w:t xml:space="preserve">carbonates, acetates, </w:t>
      </w:r>
      <w:proofErr w:type="spellStart"/>
      <w:r w:rsidR="00FD13E6">
        <w:t>histidine</w:t>
      </w:r>
      <w:proofErr w:type="spellEnd"/>
      <w:r w:rsidR="00EA2E39">
        <w:t>,</w:t>
      </w:r>
      <w:r w:rsidR="00FD13E6">
        <w:t xml:space="preserve"> </w:t>
      </w:r>
      <w:r w:rsidR="00FD13E6" w:rsidRPr="00FD13E6">
        <w:t>sodium bicarbonate</w:t>
      </w:r>
      <w:r w:rsidR="00EA2E39">
        <w:t xml:space="preserve"> </w:t>
      </w:r>
      <w:r w:rsidR="007F6BC0" w:rsidRPr="007F6BC0">
        <w:t>and phosphates</w:t>
      </w:r>
      <w:r w:rsidR="007F6BC0">
        <w:t xml:space="preserve">. </w:t>
      </w:r>
      <w:r w:rsidR="00FD13E6">
        <w:t xml:space="preserve">Citrate buffers, the most widely studied buffer has been shown to be associated with more pain than </w:t>
      </w:r>
      <w:proofErr w:type="spellStart"/>
      <w:r w:rsidR="00FD13E6">
        <w:t>histidine</w:t>
      </w:r>
      <w:proofErr w:type="spellEnd"/>
      <w:r w:rsidR="00FD13E6">
        <w:t xml:space="preserve"> buffer, </w:t>
      </w:r>
      <w:r w:rsidR="00BA59B0" w:rsidRPr="00BA59B0">
        <w:t>phosphate</w:t>
      </w:r>
      <w:r w:rsidR="00BA59B0">
        <w:t xml:space="preserve"> buffer, or isotonic saline.</w:t>
      </w:r>
      <w:r w:rsidR="0010786B" w:rsidRPr="006A39D5">
        <w:rPr>
          <w:vertAlign w:val="superscript"/>
        </w:rPr>
        <w:t>2</w:t>
      </w:r>
      <w:r w:rsidR="006A39D5" w:rsidRPr="006A39D5">
        <w:rPr>
          <w:vertAlign w:val="superscript"/>
        </w:rPr>
        <w:t>–5</w:t>
      </w:r>
      <w:r w:rsidR="00BA59B0">
        <w:t xml:space="preserve"> </w:t>
      </w:r>
      <w:r w:rsidR="00C707F5" w:rsidRPr="009B0904">
        <w:rPr>
          <w:i/>
        </w:rPr>
        <w:t>In vitro</w:t>
      </w:r>
      <w:r w:rsidR="00C707F5">
        <w:t xml:space="preserve"> comparison of </w:t>
      </w:r>
      <w:proofErr w:type="spellStart"/>
      <w:r w:rsidR="00C707F5">
        <w:t>myotoxicity</w:t>
      </w:r>
      <w:proofErr w:type="spellEnd"/>
      <w:r w:rsidR="00C707F5">
        <w:t xml:space="preserve"> of different buffers showed that </w:t>
      </w:r>
      <w:r w:rsidR="00C707F5" w:rsidRPr="00C707F5">
        <w:t xml:space="preserve">isotonic succinate buffers </w:t>
      </w:r>
      <w:r w:rsidR="00C707F5">
        <w:t xml:space="preserve">were associated with </w:t>
      </w:r>
      <w:r w:rsidR="00C707F5" w:rsidRPr="00C707F5">
        <w:t xml:space="preserve">the low </w:t>
      </w:r>
      <w:proofErr w:type="spellStart"/>
      <w:r w:rsidR="00C707F5" w:rsidRPr="00C707F5">
        <w:t>myotoxicity</w:t>
      </w:r>
      <w:proofErr w:type="spellEnd"/>
      <w:r w:rsidR="00C707F5">
        <w:t xml:space="preserve"> vs. citrate buffers</w:t>
      </w:r>
      <w:r w:rsidR="009B0904">
        <w:t>.</w:t>
      </w:r>
      <w:r w:rsidR="006A39D5">
        <w:rPr>
          <w:vertAlign w:val="superscript"/>
        </w:rPr>
        <w:t>6</w:t>
      </w:r>
      <w:r w:rsidR="009B0904">
        <w:t xml:space="preserve"> </w:t>
      </w:r>
      <w:r w:rsidR="00A21381">
        <w:t>Adalimumab (</w:t>
      </w:r>
      <w:proofErr w:type="spellStart"/>
      <w:r w:rsidR="00A21381">
        <w:t>Humira</w:t>
      </w:r>
      <w:proofErr w:type="spellEnd"/>
      <w:r w:rsidR="00A21381">
        <w:t xml:space="preserve">) is a citrate buffer based formulation. </w:t>
      </w:r>
      <w:r w:rsidR="002C0C68" w:rsidRPr="002C0C68">
        <w:t>Navarro-</w:t>
      </w:r>
      <w:proofErr w:type="spellStart"/>
      <w:r w:rsidR="002C0C68" w:rsidRPr="002C0C68">
        <w:t>Millán</w:t>
      </w:r>
      <w:proofErr w:type="spellEnd"/>
      <w:r w:rsidR="002C0C68">
        <w:t xml:space="preserve"> et al. reported that </w:t>
      </w:r>
      <w:r w:rsidR="000E32A2">
        <w:t xml:space="preserve">significant proportion of </w:t>
      </w:r>
      <w:r w:rsidR="002C0C68">
        <w:t>patients injected with adalimumab</w:t>
      </w:r>
      <w:r w:rsidR="00A21381">
        <w:t xml:space="preserve"> (</w:t>
      </w:r>
      <w:proofErr w:type="spellStart"/>
      <w:r w:rsidR="00A21381">
        <w:t>Humira</w:t>
      </w:r>
      <w:proofErr w:type="spellEnd"/>
      <w:r w:rsidR="00A21381">
        <w:t>)</w:t>
      </w:r>
      <w:r w:rsidR="002C0C68">
        <w:t xml:space="preserve"> injection </w:t>
      </w:r>
      <w:r w:rsidR="000E32A2">
        <w:t xml:space="preserve">experienced injection/infusion-site burning and stinging than those injected with </w:t>
      </w:r>
      <w:proofErr w:type="spellStart"/>
      <w:r w:rsidR="000E32A2">
        <w:t>etanercept</w:t>
      </w:r>
      <w:proofErr w:type="spellEnd"/>
      <w:r w:rsidR="000E32A2">
        <w:t xml:space="preserve">. The plausible reason was ascertained to the </w:t>
      </w:r>
      <w:r w:rsidR="002C0C68">
        <w:t>potential differences in the pH (adalimumab</w:t>
      </w:r>
      <w:r w:rsidR="000E32A2">
        <w:t xml:space="preserve"> </w:t>
      </w:r>
      <w:r w:rsidR="002C0C68">
        <w:t>pH=</w:t>
      </w:r>
      <w:r w:rsidR="000E32A2">
        <w:t xml:space="preserve">5.2; </w:t>
      </w:r>
      <w:proofErr w:type="spellStart"/>
      <w:r w:rsidR="000E32A2">
        <w:t>etanercept</w:t>
      </w:r>
      <w:proofErr w:type="spellEnd"/>
      <w:r w:rsidR="000E32A2">
        <w:t xml:space="preserve"> pH=</w:t>
      </w:r>
      <w:r w:rsidR="002C0C68">
        <w:t xml:space="preserve">6.3) </w:t>
      </w:r>
      <w:r w:rsidR="00A21381">
        <w:t>or the</w:t>
      </w:r>
      <w:r w:rsidR="000E32A2">
        <w:t xml:space="preserve"> </w:t>
      </w:r>
      <w:r w:rsidR="002C0C68">
        <w:t xml:space="preserve">inactive ingredients </w:t>
      </w:r>
      <w:r w:rsidR="00A21381">
        <w:t>used to maintain the pH.</w:t>
      </w:r>
      <w:r w:rsidR="00A21381" w:rsidRPr="00A21381">
        <w:rPr>
          <w:vertAlign w:val="superscript"/>
        </w:rPr>
        <w:t>7</w:t>
      </w:r>
    </w:p>
    <w:p w:rsidR="00FB1717" w:rsidRDefault="00FB1717" w:rsidP="00FB1717">
      <w:pPr>
        <w:pStyle w:val="Heading1"/>
      </w:pPr>
      <w:r>
        <w:t>Study objective</w:t>
      </w:r>
    </w:p>
    <w:p w:rsidR="00FB1717" w:rsidRDefault="00576D64" w:rsidP="009B0904">
      <w:pPr>
        <w:jc w:val="both"/>
      </w:pPr>
      <w:r>
        <w:t>Since citrate buffer based formulation</w:t>
      </w:r>
      <w:r w:rsidR="00A21381">
        <w:t xml:space="preserve"> </w:t>
      </w:r>
      <w:r>
        <w:t>has been associated with pain and discomfort at injection site, we wanted to evaluat</w:t>
      </w:r>
      <w:r w:rsidR="0060400D">
        <w:t>e</w:t>
      </w:r>
      <w:r>
        <w:t xml:space="preserve"> the pain associated with adalimumab </w:t>
      </w:r>
      <w:r w:rsidRPr="0036283B">
        <w:t>(</w:t>
      </w:r>
      <w:proofErr w:type="spellStart"/>
      <w:r w:rsidRPr="0036283B">
        <w:t>Exemptia</w:t>
      </w:r>
      <w:proofErr w:type="spellEnd"/>
      <w:r>
        <w:rPr>
          <w:rFonts w:cstheme="minorHAnsi"/>
        </w:rPr>
        <w:t>™</w:t>
      </w:r>
      <w:r w:rsidRPr="0036283B">
        <w:t>)</w:t>
      </w:r>
      <w:r w:rsidR="002B5311">
        <w:t>,</w:t>
      </w:r>
      <w:r>
        <w:t xml:space="preserve"> which is formulate</w:t>
      </w:r>
      <w:r w:rsidR="00C92EC9">
        <w:t>d</w:t>
      </w:r>
      <w:r>
        <w:t xml:space="preserve"> using succinate buffer.</w:t>
      </w:r>
    </w:p>
    <w:p w:rsidR="00FB1717" w:rsidRDefault="00FB1717" w:rsidP="00FB1717">
      <w:pPr>
        <w:pStyle w:val="Heading1"/>
      </w:pPr>
      <w:r>
        <w:t>Study design</w:t>
      </w:r>
    </w:p>
    <w:p w:rsidR="007353A7" w:rsidRDefault="0036283B" w:rsidP="009B0904">
      <w:pPr>
        <w:jc w:val="both"/>
      </w:pPr>
      <w:r>
        <w:t xml:space="preserve">We conducted a </w:t>
      </w:r>
      <w:r w:rsidR="00C92EC9">
        <w:t>prospective</w:t>
      </w:r>
      <w:r w:rsidR="00C92EC9" w:rsidRPr="0036283B">
        <w:t xml:space="preserve"> </w:t>
      </w:r>
      <w:r w:rsidR="007353A7">
        <w:t>(questionnaire-</w:t>
      </w:r>
      <w:r w:rsidR="0039256C">
        <w:t>based)</w:t>
      </w:r>
      <w:r>
        <w:t xml:space="preserve"> </w:t>
      </w:r>
      <w:r w:rsidR="002C0C68">
        <w:t xml:space="preserve">study </w:t>
      </w:r>
      <w:r>
        <w:t xml:space="preserve">in patients treated with </w:t>
      </w:r>
      <w:r w:rsidRPr="0036283B">
        <w:t>adalimumab (</w:t>
      </w:r>
      <w:proofErr w:type="spellStart"/>
      <w:r w:rsidRPr="0036283B">
        <w:t>Exemptia</w:t>
      </w:r>
      <w:proofErr w:type="spellEnd"/>
      <w:r>
        <w:rPr>
          <w:rFonts w:cstheme="minorHAnsi"/>
        </w:rPr>
        <w:t>™</w:t>
      </w:r>
      <w:r w:rsidRPr="0036283B">
        <w:t>) injection</w:t>
      </w:r>
      <w:r>
        <w:t xml:space="preserve"> for various </w:t>
      </w:r>
      <w:proofErr w:type="spellStart"/>
      <w:r w:rsidR="00C27EF4">
        <w:t>rheumatological</w:t>
      </w:r>
      <w:proofErr w:type="spellEnd"/>
      <w:r>
        <w:t xml:space="preserve"> conditions</w:t>
      </w:r>
      <w:r w:rsidR="00C27EF4">
        <w:t xml:space="preserve"> (</w:t>
      </w:r>
      <w:r w:rsidR="00C27EF4" w:rsidRPr="007353A7">
        <w:t xml:space="preserve">rheumatoid arthritis, </w:t>
      </w:r>
      <w:proofErr w:type="spellStart"/>
      <w:r w:rsidR="00C27EF4" w:rsidRPr="007353A7">
        <w:t>ankylosing</w:t>
      </w:r>
      <w:proofErr w:type="spellEnd"/>
      <w:r w:rsidR="00C27EF4" w:rsidRPr="007353A7">
        <w:t xml:space="preserve"> spondylitis, psoriatic arthritis </w:t>
      </w:r>
      <w:r w:rsidR="00C27EF4">
        <w:t>and</w:t>
      </w:r>
      <w:r w:rsidR="00C27EF4" w:rsidRPr="007353A7">
        <w:t xml:space="preserve"> juvenile idiopathic arthritis</w:t>
      </w:r>
      <w:r w:rsidR="00C27EF4">
        <w:t>)</w:t>
      </w:r>
      <w:r>
        <w:t xml:space="preserve">. </w:t>
      </w:r>
      <w:r w:rsidR="007353A7" w:rsidRPr="0036283B">
        <w:t>Adalimumab (</w:t>
      </w:r>
      <w:proofErr w:type="spellStart"/>
      <w:r w:rsidR="007353A7" w:rsidRPr="0036283B">
        <w:t>Exemptia</w:t>
      </w:r>
      <w:proofErr w:type="spellEnd"/>
      <w:r w:rsidR="007353A7">
        <w:rPr>
          <w:rFonts w:cstheme="minorHAnsi"/>
        </w:rPr>
        <w:t>™</w:t>
      </w:r>
      <w:r w:rsidR="007353A7" w:rsidRPr="0036283B">
        <w:t>) injection</w:t>
      </w:r>
      <w:r w:rsidR="007353A7">
        <w:t xml:space="preserve"> is formulated with succinate buffer. </w:t>
      </w:r>
    </w:p>
    <w:p w:rsidR="00FB1717" w:rsidRDefault="00FB1717" w:rsidP="00FB1717">
      <w:pPr>
        <w:pStyle w:val="Heading1"/>
      </w:pPr>
      <w:r>
        <w:lastRenderedPageBreak/>
        <w:t>Materials and method</w:t>
      </w:r>
    </w:p>
    <w:p w:rsidR="0036283B" w:rsidRDefault="007353A7" w:rsidP="0036283B">
      <w:pPr>
        <w:jc w:val="both"/>
      </w:pPr>
      <w:r>
        <w:t>Patients aged</w:t>
      </w:r>
      <w:r w:rsidRPr="007353A7">
        <w:t xml:space="preserve"> </w:t>
      </w:r>
      <w:r w:rsidR="00C27EF4">
        <w:t>1</w:t>
      </w:r>
      <w:r w:rsidRPr="007353A7">
        <w:t>2 years and above &lt;70 years suffering from rheumatoid arthritis</w:t>
      </w:r>
      <w:r w:rsidR="00F2265F">
        <w:t xml:space="preserve"> (RA)</w:t>
      </w:r>
      <w:r w:rsidRPr="007353A7">
        <w:t xml:space="preserve">, </w:t>
      </w:r>
      <w:proofErr w:type="spellStart"/>
      <w:r w:rsidRPr="007353A7">
        <w:t>ankylosing</w:t>
      </w:r>
      <w:proofErr w:type="spellEnd"/>
      <w:r w:rsidRPr="007353A7">
        <w:t xml:space="preserve"> spondylitis</w:t>
      </w:r>
      <w:r w:rsidR="00F2265F">
        <w:t xml:space="preserve"> (AS)</w:t>
      </w:r>
      <w:r w:rsidRPr="007353A7">
        <w:t xml:space="preserve">, psoriatic arthritis </w:t>
      </w:r>
      <w:r w:rsidR="00F2265F">
        <w:t>(</w:t>
      </w:r>
      <w:proofErr w:type="spellStart"/>
      <w:r w:rsidR="00F2265F">
        <w:t>PsA</w:t>
      </w:r>
      <w:proofErr w:type="spellEnd"/>
      <w:r w:rsidR="00F2265F">
        <w:t xml:space="preserve">) </w:t>
      </w:r>
      <w:r>
        <w:t>and</w:t>
      </w:r>
      <w:r w:rsidRPr="007353A7">
        <w:t xml:space="preserve"> juvenile idiopathic arthritis</w:t>
      </w:r>
      <w:r w:rsidR="00F2265F">
        <w:t xml:space="preserve"> (JIA)</w:t>
      </w:r>
      <w:r w:rsidRPr="007353A7">
        <w:t xml:space="preserve"> taking </w:t>
      </w:r>
      <w:r w:rsidR="00446682" w:rsidRPr="0036283B">
        <w:t xml:space="preserve">adalimumab </w:t>
      </w:r>
      <w:r w:rsidRPr="0036283B">
        <w:t>(</w:t>
      </w:r>
      <w:proofErr w:type="spellStart"/>
      <w:r w:rsidRPr="0036283B">
        <w:t>Exemptia</w:t>
      </w:r>
      <w:proofErr w:type="spellEnd"/>
      <w:r>
        <w:rPr>
          <w:rFonts w:cstheme="minorHAnsi"/>
        </w:rPr>
        <w:t>™</w:t>
      </w:r>
      <w:r w:rsidRPr="0036283B">
        <w:t>) injection</w:t>
      </w:r>
      <w:r w:rsidR="008C5084">
        <w:t xml:space="preserve"> were included in the study</w:t>
      </w:r>
      <w:r>
        <w:t xml:space="preserve">. </w:t>
      </w:r>
      <w:r w:rsidR="0036283B">
        <w:t>We collected data</w:t>
      </w:r>
      <w:r w:rsidR="00AE327F">
        <w:t xml:space="preserve"> (N=92)</w:t>
      </w:r>
      <w:r w:rsidR="0036283B">
        <w:t xml:space="preserve"> with respect to pain at the</w:t>
      </w:r>
      <w:r w:rsidR="0036283B" w:rsidRPr="0036283B">
        <w:t xml:space="preserve"> site </w:t>
      </w:r>
      <w:r w:rsidR="0036283B">
        <w:t xml:space="preserve">of injection and injection site </w:t>
      </w:r>
      <w:r w:rsidR="0036283B" w:rsidRPr="0036283B">
        <w:t>reaction</w:t>
      </w:r>
      <w:r w:rsidR="0036283B">
        <w:t xml:space="preserve"> with the aid of a </w:t>
      </w:r>
      <w:r w:rsidR="0036283B" w:rsidRPr="0036283B">
        <w:t>questionnaire</w:t>
      </w:r>
      <w:r w:rsidR="0036283B">
        <w:t>.</w:t>
      </w:r>
      <w:r w:rsidR="0036283B" w:rsidRPr="0036283B">
        <w:t xml:space="preserve"> </w:t>
      </w:r>
      <w:r w:rsidR="006F2225" w:rsidRPr="006F2225">
        <w:t xml:space="preserve">Data </w:t>
      </w:r>
      <w:proofErr w:type="gramStart"/>
      <w:r w:rsidR="006F2225" w:rsidRPr="006F2225">
        <w:t>was collected</w:t>
      </w:r>
      <w:proofErr w:type="gramEnd"/>
      <w:r w:rsidR="006F2225" w:rsidRPr="006F2225">
        <w:t xml:space="preserve"> from 500 patients over 6 months and </w:t>
      </w:r>
      <w:r w:rsidR="006F2225">
        <w:t xml:space="preserve">most of them </w:t>
      </w:r>
      <w:r w:rsidR="006F2225" w:rsidRPr="006F2225">
        <w:t xml:space="preserve">completed at least 3 cycles of injection. </w:t>
      </w:r>
      <w:r w:rsidR="0036283B">
        <w:t xml:space="preserve">Primary objective is pain at the site of injection within 24 h of injection. </w:t>
      </w:r>
      <w:r w:rsidRPr="007353A7">
        <w:t xml:space="preserve">Pain </w:t>
      </w:r>
      <w:proofErr w:type="gramStart"/>
      <w:r>
        <w:t>was assessed</w:t>
      </w:r>
      <w:proofErr w:type="gramEnd"/>
      <w:r>
        <w:t xml:space="preserve"> </w:t>
      </w:r>
      <w:r w:rsidR="006F2225">
        <w:t xml:space="preserve">using </w:t>
      </w:r>
      <w:r w:rsidR="006F2225" w:rsidRPr="006F2225">
        <w:t xml:space="preserve">the verbal pain intensity scale </w:t>
      </w:r>
      <w:r w:rsidR="006F2225">
        <w:t xml:space="preserve">provided by </w:t>
      </w:r>
      <w:r w:rsidR="006F2225" w:rsidRPr="006F2225">
        <w:t>National Initiative on Pain Control™ (NIPC™).</w:t>
      </w:r>
      <w:r w:rsidR="00F2265F">
        <w:rPr>
          <w:vertAlign w:val="superscript"/>
        </w:rPr>
        <w:t>8</w:t>
      </w:r>
    </w:p>
    <w:p w:rsidR="00FB1717" w:rsidRDefault="00FB1717" w:rsidP="00FB1717">
      <w:pPr>
        <w:pStyle w:val="Heading1"/>
      </w:pPr>
      <w:r>
        <w:t xml:space="preserve">Results </w:t>
      </w:r>
    </w:p>
    <w:p w:rsidR="006F2225" w:rsidRDefault="00D90065" w:rsidP="005E4A22">
      <w:pPr>
        <w:jc w:val="both"/>
      </w:pPr>
      <w:r>
        <w:t>Patients included in this study were aged between 13 and 65 years</w:t>
      </w:r>
      <w:r w:rsidR="009C5F67">
        <w:t xml:space="preserve"> (mean 39.72 </w:t>
      </w:r>
      <w:r w:rsidR="009C5F67">
        <w:rPr>
          <w:rFonts w:cstheme="minorHAnsi"/>
        </w:rPr>
        <w:t>±</w:t>
      </w:r>
      <w:r w:rsidR="009C5F67">
        <w:t>14.42</w:t>
      </w:r>
      <w:r w:rsidR="002B5311">
        <w:t xml:space="preserve"> years</w:t>
      </w:r>
      <w:r w:rsidR="009C5F67">
        <w:t>)</w:t>
      </w:r>
      <w:r w:rsidR="00115830">
        <w:t xml:space="preserve">; </w:t>
      </w:r>
      <w:r w:rsidR="009C5F67">
        <w:t xml:space="preserve">367 </w:t>
      </w:r>
      <w:r>
        <w:t xml:space="preserve">of them were men and </w:t>
      </w:r>
      <w:r w:rsidR="009C5F67">
        <w:t>133</w:t>
      </w:r>
      <w:r>
        <w:t xml:space="preserve"> were women</w:t>
      </w:r>
      <w:r w:rsidR="00BB549A">
        <w:t xml:space="preserve"> (Table 1)</w:t>
      </w:r>
      <w:r>
        <w:t xml:space="preserve">.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417"/>
        <w:gridCol w:w="1560"/>
      </w:tblGrid>
      <w:tr w:rsidR="006F2225" w:rsidRPr="008C5084" w:rsidTr="006F2225">
        <w:tc>
          <w:tcPr>
            <w:tcW w:w="9039" w:type="dxa"/>
            <w:gridSpan w:val="5"/>
          </w:tcPr>
          <w:p w:rsidR="006F2225" w:rsidRPr="008C5084" w:rsidRDefault="006F2225" w:rsidP="006F2225">
            <w:pPr>
              <w:jc w:val="both"/>
              <w:rPr>
                <w:rFonts w:cstheme="minorHAnsi"/>
                <w:b/>
                <w:sz w:val="18"/>
              </w:rPr>
            </w:pPr>
            <w:proofErr w:type="gramStart"/>
            <w:r w:rsidRPr="008C5084">
              <w:rPr>
                <w:rFonts w:cstheme="minorHAnsi"/>
                <w:b/>
                <w:sz w:val="18"/>
              </w:rPr>
              <w:t>Table 1.</w:t>
            </w:r>
            <w:proofErr w:type="gramEnd"/>
            <w:r w:rsidRPr="008C5084">
              <w:rPr>
                <w:rFonts w:cstheme="minorHAnsi"/>
                <w:b/>
                <w:sz w:val="18"/>
              </w:rPr>
              <w:t xml:space="preserve"> Patient distribution and age in the study</w:t>
            </w:r>
          </w:p>
        </w:tc>
      </w:tr>
      <w:tr w:rsidR="006F2225" w:rsidRPr="008C5084" w:rsidTr="006F2225">
        <w:tc>
          <w:tcPr>
            <w:tcW w:w="2093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b/>
                <w:sz w:val="18"/>
              </w:rPr>
            </w:pPr>
            <w:r w:rsidRPr="008C5084">
              <w:rPr>
                <w:rFonts w:cstheme="minorHAnsi"/>
                <w:b/>
                <w:sz w:val="18"/>
              </w:rPr>
              <w:t>Indication</w:t>
            </w:r>
          </w:p>
        </w:tc>
        <w:tc>
          <w:tcPr>
            <w:tcW w:w="1843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8C5084">
              <w:rPr>
                <w:rFonts w:cstheme="minorHAnsi"/>
                <w:b/>
                <w:sz w:val="18"/>
              </w:rPr>
              <w:t>Ankylosing</w:t>
            </w:r>
            <w:proofErr w:type="spellEnd"/>
            <w:r w:rsidRPr="008C5084">
              <w:rPr>
                <w:rFonts w:cstheme="minorHAnsi"/>
                <w:b/>
                <w:sz w:val="18"/>
              </w:rPr>
              <w:t xml:space="preserve"> spondylitis</w:t>
            </w:r>
          </w:p>
        </w:tc>
        <w:tc>
          <w:tcPr>
            <w:tcW w:w="2126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b/>
                <w:sz w:val="18"/>
              </w:rPr>
            </w:pPr>
            <w:r w:rsidRPr="008C5084">
              <w:rPr>
                <w:rFonts w:cstheme="minorHAnsi"/>
                <w:b/>
                <w:sz w:val="18"/>
              </w:rPr>
              <w:t>Juvenile idiopathic arthritis</w:t>
            </w:r>
          </w:p>
        </w:tc>
        <w:tc>
          <w:tcPr>
            <w:tcW w:w="1417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b/>
                <w:sz w:val="18"/>
              </w:rPr>
            </w:pPr>
            <w:r w:rsidRPr="008C5084">
              <w:rPr>
                <w:rFonts w:cstheme="minorHAnsi"/>
                <w:b/>
                <w:sz w:val="18"/>
              </w:rPr>
              <w:t>Psoriatic arthritis</w:t>
            </w:r>
          </w:p>
        </w:tc>
        <w:tc>
          <w:tcPr>
            <w:tcW w:w="1560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b/>
                <w:sz w:val="18"/>
              </w:rPr>
            </w:pPr>
            <w:r w:rsidRPr="008C5084">
              <w:rPr>
                <w:rFonts w:cstheme="minorHAnsi"/>
                <w:b/>
                <w:sz w:val="18"/>
              </w:rPr>
              <w:t>Rheumatoid arthritis</w:t>
            </w:r>
          </w:p>
        </w:tc>
      </w:tr>
      <w:tr w:rsidR="006F2225" w:rsidRPr="008C5084" w:rsidTr="006F2225">
        <w:tc>
          <w:tcPr>
            <w:tcW w:w="2093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Females (N)</w:t>
            </w:r>
          </w:p>
        </w:tc>
        <w:tc>
          <w:tcPr>
            <w:tcW w:w="1843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74</w:t>
            </w:r>
          </w:p>
        </w:tc>
        <w:tc>
          <w:tcPr>
            <w:tcW w:w="2126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9</w:t>
            </w:r>
          </w:p>
        </w:tc>
        <w:tc>
          <w:tcPr>
            <w:tcW w:w="1417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3</w:t>
            </w:r>
          </w:p>
        </w:tc>
        <w:tc>
          <w:tcPr>
            <w:tcW w:w="1560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43</w:t>
            </w:r>
          </w:p>
        </w:tc>
      </w:tr>
      <w:tr w:rsidR="006F2225" w:rsidRPr="008C5084" w:rsidTr="006F2225">
        <w:tc>
          <w:tcPr>
            <w:tcW w:w="2093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Males (N)</w:t>
            </w:r>
          </w:p>
        </w:tc>
        <w:tc>
          <w:tcPr>
            <w:tcW w:w="1843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291</w:t>
            </w:r>
          </w:p>
        </w:tc>
        <w:tc>
          <w:tcPr>
            <w:tcW w:w="2126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3</w:t>
            </w:r>
          </w:p>
        </w:tc>
        <w:tc>
          <w:tcPr>
            <w:tcW w:w="1417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20</w:t>
            </w:r>
          </w:p>
        </w:tc>
        <w:tc>
          <w:tcPr>
            <w:tcW w:w="1560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50</w:t>
            </w:r>
          </w:p>
        </w:tc>
      </w:tr>
      <w:tr w:rsidR="006F2225" w:rsidRPr="008C5084" w:rsidTr="006F2225">
        <w:tc>
          <w:tcPr>
            <w:tcW w:w="2093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Average age in females (years ±SD)</w:t>
            </w:r>
          </w:p>
        </w:tc>
        <w:tc>
          <w:tcPr>
            <w:tcW w:w="1843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32.8 (10.43)</w:t>
            </w:r>
          </w:p>
        </w:tc>
        <w:tc>
          <w:tcPr>
            <w:tcW w:w="2126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16.56(5.66)</w:t>
            </w:r>
          </w:p>
        </w:tc>
        <w:tc>
          <w:tcPr>
            <w:tcW w:w="1417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54.66(16.78)</w:t>
            </w:r>
          </w:p>
        </w:tc>
        <w:tc>
          <w:tcPr>
            <w:tcW w:w="1560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45.72(10.91)</w:t>
            </w:r>
          </w:p>
        </w:tc>
      </w:tr>
      <w:tr w:rsidR="006F2225" w:rsidRPr="008C5084" w:rsidTr="006F2225">
        <w:tc>
          <w:tcPr>
            <w:tcW w:w="2093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Average age in males (years ±SD)</w:t>
            </w:r>
          </w:p>
        </w:tc>
        <w:tc>
          <w:tcPr>
            <w:tcW w:w="1843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38.85(13.76)</w:t>
            </w:r>
          </w:p>
        </w:tc>
        <w:tc>
          <w:tcPr>
            <w:tcW w:w="2126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16.33(7.51)</w:t>
            </w:r>
          </w:p>
        </w:tc>
        <w:tc>
          <w:tcPr>
            <w:tcW w:w="1417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53.85(9.92)</w:t>
            </w:r>
          </w:p>
        </w:tc>
        <w:tc>
          <w:tcPr>
            <w:tcW w:w="1560" w:type="dxa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49.44(14.48)</w:t>
            </w:r>
          </w:p>
        </w:tc>
      </w:tr>
      <w:tr w:rsidR="006F2225" w:rsidRPr="008C5084" w:rsidTr="004833D6">
        <w:tc>
          <w:tcPr>
            <w:tcW w:w="9039" w:type="dxa"/>
            <w:gridSpan w:val="5"/>
          </w:tcPr>
          <w:p w:rsidR="006F2225" w:rsidRPr="008C5084" w:rsidRDefault="006F2225" w:rsidP="006F2225">
            <w:pPr>
              <w:jc w:val="both"/>
              <w:rPr>
                <w:rFonts w:cstheme="minorHAnsi"/>
                <w:sz w:val="18"/>
              </w:rPr>
            </w:pPr>
            <w:r w:rsidRPr="008C5084">
              <w:rPr>
                <w:rFonts w:cstheme="minorHAnsi"/>
                <w:sz w:val="18"/>
              </w:rPr>
              <w:t>SD, standard deviation</w:t>
            </w:r>
          </w:p>
        </w:tc>
      </w:tr>
    </w:tbl>
    <w:p w:rsidR="006F2225" w:rsidRDefault="006F2225" w:rsidP="005E4A22">
      <w:pPr>
        <w:jc w:val="both"/>
      </w:pPr>
    </w:p>
    <w:p w:rsidR="002E54FB" w:rsidRDefault="006F2225" w:rsidP="005E4A22">
      <w:pPr>
        <w:jc w:val="both"/>
      </w:pPr>
      <w:r>
        <w:t xml:space="preserve">Majority of the patients received injections in the abdomen (N=490) while eight received it in the thigh. We excluded seven patients from the analysis </w:t>
      </w:r>
      <w:r w:rsidR="009C5F67">
        <w:t xml:space="preserve">because they </w:t>
      </w:r>
      <w:proofErr w:type="gramStart"/>
      <w:r w:rsidR="009C5F67">
        <w:t>were not treated</w:t>
      </w:r>
      <w:proofErr w:type="gramEnd"/>
      <w:r w:rsidR="009C5F67">
        <w:t xml:space="preserve"> for rheumatologic conditions. </w:t>
      </w:r>
      <w:r w:rsidR="00610FC7">
        <w:t xml:space="preserve">We assessed the pain following the use of succinate buffer injection of </w:t>
      </w:r>
      <w:r w:rsidR="00446682" w:rsidRPr="0036283B">
        <w:t>adalimumab (</w:t>
      </w:r>
      <w:proofErr w:type="spellStart"/>
      <w:r w:rsidR="00446682" w:rsidRPr="0036283B">
        <w:t>Exemptia</w:t>
      </w:r>
      <w:proofErr w:type="spellEnd"/>
      <w:r w:rsidR="00446682">
        <w:rPr>
          <w:rFonts w:cstheme="minorHAnsi"/>
        </w:rPr>
        <w:t>™</w:t>
      </w:r>
      <w:r w:rsidR="00446682" w:rsidRPr="0036283B">
        <w:t>) injection</w:t>
      </w:r>
      <w:r w:rsidR="00446682">
        <w:t xml:space="preserve"> </w:t>
      </w:r>
      <w:r w:rsidR="00610FC7">
        <w:t xml:space="preserve">in </w:t>
      </w:r>
      <w:r w:rsidR="0023113C">
        <w:t xml:space="preserve">492 </w:t>
      </w:r>
      <w:r w:rsidR="00610FC7">
        <w:t>patients</w:t>
      </w:r>
      <w:r w:rsidR="0023113C">
        <w:t xml:space="preserve"> </w:t>
      </w:r>
      <w:r w:rsidR="00610FC7">
        <w:t xml:space="preserve">with </w:t>
      </w:r>
      <w:r w:rsidR="00C215D8" w:rsidRPr="007353A7">
        <w:t>rheumatoid arthritis</w:t>
      </w:r>
      <w:r w:rsidR="00610FC7">
        <w:t xml:space="preserve"> (</w:t>
      </w:r>
      <w:r w:rsidR="00446682">
        <w:t xml:space="preserve">RA; </w:t>
      </w:r>
      <w:r w:rsidR="003C1C1F">
        <w:t>N=93</w:t>
      </w:r>
      <w:r w:rsidR="00610FC7">
        <w:t xml:space="preserve">), </w:t>
      </w:r>
      <w:proofErr w:type="spellStart"/>
      <w:r w:rsidR="00C215D8">
        <w:t>ankylosing</w:t>
      </w:r>
      <w:proofErr w:type="spellEnd"/>
      <w:r w:rsidR="00C215D8">
        <w:t xml:space="preserve"> spondylitis</w:t>
      </w:r>
      <w:r w:rsidR="00610FC7">
        <w:t xml:space="preserve"> (</w:t>
      </w:r>
      <w:r w:rsidR="00446682">
        <w:t xml:space="preserve">AS; </w:t>
      </w:r>
      <w:r w:rsidR="00610FC7">
        <w:t>N=</w:t>
      </w:r>
      <w:r w:rsidR="0079085E">
        <w:t>365</w:t>
      </w:r>
      <w:r w:rsidR="00610FC7">
        <w:t xml:space="preserve">), </w:t>
      </w:r>
      <w:r w:rsidR="00446682" w:rsidRPr="007353A7">
        <w:t xml:space="preserve">juvenile idiopathic arthritis </w:t>
      </w:r>
      <w:r w:rsidR="0079085E">
        <w:t>(N=12</w:t>
      </w:r>
      <w:r w:rsidR="00610FC7">
        <w:t xml:space="preserve">), </w:t>
      </w:r>
      <w:r w:rsidR="002E54FB">
        <w:t xml:space="preserve">and </w:t>
      </w:r>
      <w:r w:rsidR="00C215D8" w:rsidRPr="007353A7">
        <w:t>psoriatic arthritis</w:t>
      </w:r>
      <w:r w:rsidR="00610FC7">
        <w:t xml:space="preserve"> (N=</w:t>
      </w:r>
      <w:r w:rsidR="0079085E">
        <w:t>23</w:t>
      </w:r>
      <w:r w:rsidR="002E54FB">
        <w:t>)</w:t>
      </w:r>
      <w:r w:rsidR="00610FC7">
        <w:t>.</w:t>
      </w:r>
      <w:r w:rsidR="002E54FB">
        <w:t xml:space="preserve"> </w:t>
      </w:r>
      <w:r w:rsidR="00BB549A">
        <w:t>Majority of the patients</w:t>
      </w:r>
      <w:r w:rsidR="00F2265F">
        <w:t xml:space="preserve"> (83.12%)</w:t>
      </w:r>
      <w:r w:rsidR="00BB549A">
        <w:t xml:space="preserve"> reported ‘no pain’ </w:t>
      </w:r>
      <w:r w:rsidR="002C0C68">
        <w:t>(Figure 1)</w:t>
      </w:r>
      <w:r w:rsidR="002E54FB">
        <w:t xml:space="preserve">. On the </w:t>
      </w:r>
      <w:r w:rsidR="00F2265F" w:rsidRPr="006F2225">
        <w:t xml:space="preserve">verbal </w:t>
      </w:r>
      <w:r w:rsidRPr="006F2225">
        <w:t>pain intensity scale</w:t>
      </w:r>
      <w:r w:rsidR="00212721">
        <w:t xml:space="preserve">, </w:t>
      </w:r>
      <w:r w:rsidR="00F2265F">
        <w:t>more than 90%</w:t>
      </w:r>
      <w:r w:rsidR="00212721">
        <w:t xml:space="preserve"> o</w:t>
      </w:r>
      <w:r w:rsidR="002C0C68">
        <w:t xml:space="preserve">f the patients reported </w:t>
      </w:r>
      <w:r w:rsidR="00F2265F">
        <w:t>‘no pain’ or ‘</w:t>
      </w:r>
      <w:r w:rsidR="002C0C68">
        <w:t>mild pain</w:t>
      </w:r>
      <w:r w:rsidR="00F2265F">
        <w:t>’</w:t>
      </w:r>
      <w:r w:rsidR="00BB549A">
        <w:t>.</w:t>
      </w:r>
      <w:r w:rsidR="002C0C68">
        <w:t xml:space="preserve"> </w:t>
      </w:r>
      <w:r w:rsidR="00F2265F">
        <w:t xml:space="preserve">None of the patients reported ‘extreme pain’ or ‘worst possible pain’. One patient with </w:t>
      </w:r>
      <w:proofErr w:type="spellStart"/>
      <w:r w:rsidR="00F2265F">
        <w:t>ankylosing</w:t>
      </w:r>
      <w:proofErr w:type="spellEnd"/>
      <w:r w:rsidR="00F2265F">
        <w:t xml:space="preserve"> spondylitis reported ‘severe pain’</w:t>
      </w:r>
      <w:r w:rsidR="008C5084">
        <w:t xml:space="preserve"> (Table 2).</w:t>
      </w:r>
    </w:p>
    <w:p w:rsidR="002E54FB" w:rsidRDefault="002E54FB" w:rsidP="005E4A22">
      <w:pPr>
        <w:jc w:val="both"/>
      </w:pPr>
      <w:r>
        <w:rPr>
          <w:noProof/>
        </w:rPr>
        <w:lastRenderedPageBreak/>
        <w:drawing>
          <wp:inline distT="0" distB="0" distL="0" distR="0" wp14:anchorId="65F05DC5" wp14:editId="514A3A9D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00"/>
        <w:gridCol w:w="1123"/>
        <w:gridCol w:w="1045"/>
        <w:gridCol w:w="960"/>
        <w:gridCol w:w="1284"/>
        <w:gridCol w:w="1276"/>
        <w:gridCol w:w="1559"/>
      </w:tblGrid>
      <w:tr w:rsidR="00F2265F" w:rsidRPr="008C5084" w:rsidTr="008C5084">
        <w:trPr>
          <w:trHeight w:val="300"/>
        </w:trPr>
        <w:tc>
          <w:tcPr>
            <w:tcW w:w="9747" w:type="dxa"/>
            <w:gridSpan w:val="7"/>
            <w:noWrap/>
            <w:hideMark/>
          </w:tcPr>
          <w:p w:rsidR="00F2265F" w:rsidRPr="00F2265F" w:rsidRDefault="00F2265F" w:rsidP="00F2265F">
            <w:pPr>
              <w:rPr>
                <w:rFonts w:eastAsia="Times New Roman" w:cstheme="minorHAnsi"/>
                <w:sz w:val="18"/>
                <w:szCs w:val="20"/>
              </w:rPr>
            </w:pPr>
            <w:proofErr w:type="gramStart"/>
            <w:r w:rsidRPr="008C5084">
              <w:rPr>
                <w:rFonts w:eastAsia="Times New Roman" w:cstheme="minorHAnsi"/>
                <w:sz w:val="18"/>
                <w:szCs w:val="20"/>
              </w:rPr>
              <w:t>Table 2.</w:t>
            </w:r>
            <w:proofErr w:type="gramEnd"/>
            <w:r w:rsidRPr="008C5084">
              <w:rPr>
                <w:rFonts w:eastAsia="Times New Roman" w:cstheme="minorHAnsi"/>
                <w:sz w:val="18"/>
                <w:szCs w:val="20"/>
              </w:rPr>
              <w:t xml:space="preserve"> Distribution of patients with different </w:t>
            </w:r>
            <w:proofErr w:type="spellStart"/>
            <w:r w:rsidRPr="008C5084">
              <w:rPr>
                <w:rFonts w:eastAsia="Times New Roman" w:cstheme="minorHAnsi"/>
                <w:sz w:val="18"/>
                <w:szCs w:val="20"/>
              </w:rPr>
              <w:t>rheumatological</w:t>
            </w:r>
            <w:proofErr w:type="spellEnd"/>
            <w:r w:rsidRPr="008C5084">
              <w:rPr>
                <w:rFonts w:eastAsia="Times New Roman" w:cstheme="minorHAnsi"/>
                <w:sz w:val="18"/>
                <w:szCs w:val="20"/>
              </w:rPr>
              <w:t xml:space="preserve"> conditions across the verbal pain intensity scale </w:t>
            </w:r>
          </w:p>
        </w:tc>
      </w:tr>
      <w:tr w:rsidR="008C5084" w:rsidRPr="00F2265F" w:rsidTr="008C5084">
        <w:trPr>
          <w:trHeight w:val="300"/>
        </w:trPr>
        <w:tc>
          <w:tcPr>
            <w:tcW w:w="2500" w:type="dxa"/>
            <w:noWrap/>
            <w:hideMark/>
          </w:tcPr>
          <w:p w:rsidR="008C5084" w:rsidRPr="00F2265F" w:rsidRDefault="008C5084" w:rsidP="008C5084">
            <w:pPr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8C5084">
              <w:rPr>
                <w:rFonts w:cstheme="minorHAnsi"/>
                <w:b/>
                <w:sz w:val="18"/>
              </w:rPr>
              <w:t>Verbal pain intensity scale</w:t>
            </w:r>
          </w:p>
        </w:tc>
        <w:tc>
          <w:tcPr>
            <w:tcW w:w="1123" w:type="dxa"/>
            <w:noWrap/>
            <w:hideMark/>
          </w:tcPr>
          <w:p w:rsidR="008C5084" w:rsidRPr="008C5084" w:rsidRDefault="008C5084" w:rsidP="008C5084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8C5084">
              <w:rPr>
                <w:rFonts w:cstheme="minorHAnsi"/>
                <w:b/>
                <w:sz w:val="18"/>
              </w:rPr>
              <w:t>Ankylosing</w:t>
            </w:r>
            <w:proofErr w:type="spellEnd"/>
            <w:r w:rsidRPr="008C5084">
              <w:rPr>
                <w:rFonts w:cstheme="minorHAnsi"/>
                <w:b/>
                <w:sz w:val="18"/>
              </w:rPr>
              <w:t xml:space="preserve"> spondylitis (N)</w:t>
            </w:r>
          </w:p>
        </w:tc>
        <w:tc>
          <w:tcPr>
            <w:tcW w:w="1045" w:type="dxa"/>
            <w:noWrap/>
            <w:hideMark/>
          </w:tcPr>
          <w:p w:rsidR="008C5084" w:rsidRPr="008C5084" w:rsidRDefault="008C5084" w:rsidP="008C5084">
            <w:pPr>
              <w:jc w:val="both"/>
              <w:rPr>
                <w:rFonts w:cstheme="minorHAnsi"/>
                <w:b/>
                <w:sz w:val="18"/>
              </w:rPr>
            </w:pPr>
            <w:r w:rsidRPr="008C5084">
              <w:rPr>
                <w:rFonts w:cstheme="minorHAnsi"/>
                <w:b/>
                <w:sz w:val="18"/>
              </w:rPr>
              <w:t>Juvenile idiopathic arthritis (N)</w:t>
            </w:r>
          </w:p>
        </w:tc>
        <w:tc>
          <w:tcPr>
            <w:tcW w:w="960" w:type="dxa"/>
            <w:noWrap/>
            <w:hideMark/>
          </w:tcPr>
          <w:p w:rsidR="008C5084" w:rsidRPr="008C5084" w:rsidRDefault="008C5084" w:rsidP="008C5084">
            <w:pPr>
              <w:jc w:val="both"/>
              <w:rPr>
                <w:rFonts w:cstheme="minorHAnsi"/>
                <w:b/>
                <w:sz w:val="18"/>
              </w:rPr>
            </w:pPr>
            <w:r w:rsidRPr="008C5084">
              <w:rPr>
                <w:rFonts w:cstheme="minorHAnsi"/>
                <w:b/>
                <w:sz w:val="18"/>
              </w:rPr>
              <w:t>Psoriatic arthritis (N)</w:t>
            </w:r>
          </w:p>
        </w:tc>
        <w:tc>
          <w:tcPr>
            <w:tcW w:w="1284" w:type="dxa"/>
            <w:noWrap/>
            <w:hideMark/>
          </w:tcPr>
          <w:p w:rsidR="008C5084" w:rsidRPr="008C5084" w:rsidRDefault="008C5084" w:rsidP="008C5084">
            <w:pPr>
              <w:jc w:val="both"/>
              <w:rPr>
                <w:rFonts w:cstheme="minorHAnsi"/>
                <w:b/>
                <w:sz w:val="18"/>
              </w:rPr>
            </w:pPr>
            <w:r w:rsidRPr="008C5084">
              <w:rPr>
                <w:rFonts w:cstheme="minorHAnsi"/>
                <w:b/>
                <w:sz w:val="18"/>
              </w:rPr>
              <w:t>Rheumatoid arthritis (N)</w:t>
            </w:r>
          </w:p>
        </w:tc>
        <w:tc>
          <w:tcPr>
            <w:tcW w:w="1276" w:type="dxa"/>
            <w:noWrap/>
            <w:hideMark/>
          </w:tcPr>
          <w:p w:rsidR="008C5084" w:rsidRPr="00F2265F" w:rsidRDefault="008C5084" w:rsidP="008C5084">
            <w:pPr>
              <w:jc w:val="both"/>
              <w:rPr>
                <w:rFonts w:cstheme="minorHAnsi"/>
                <w:b/>
                <w:sz w:val="18"/>
              </w:rPr>
            </w:pPr>
            <w:r w:rsidRPr="00F2265F">
              <w:rPr>
                <w:rFonts w:cstheme="minorHAnsi"/>
                <w:b/>
                <w:sz w:val="18"/>
              </w:rPr>
              <w:t>Total number</w:t>
            </w:r>
            <w:r w:rsidRPr="008C5084">
              <w:rPr>
                <w:rFonts w:cstheme="minorHAnsi"/>
                <w:b/>
                <w:sz w:val="18"/>
              </w:rPr>
              <w:t xml:space="preserve"> of patients</w:t>
            </w:r>
          </w:p>
        </w:tc>
        <w:tc>
          <w:tcPr>
            <w:tcW w:w="1559" w:type="dxa"/>
            <w:noWrap/>
            <w:hideMark/>
          </w:tcPr>
          <w:p w:rsidR="008C5084" w:rsidRPr="00F2265F" w:rsidRDefault="008C5084" w:rsidP="008C5084">
            <w:pPr>
              <w:jc w:val="both"/>
              <w:rPr>
                <w:rFonts w:cstheme="minorHAnsi"/>
                <w:b/>
                <w:sz w:val="18"/>
              </w:rPr>
            </w:pPr>
            <w:r w:rsidRPr="008C5084">
              <w:rPr>
                <w:rFonts w:cstheme="minorHAnsi"/>
                <w:b/>
                <w:sz w:val="18"/>
              </w:rPr>
              <w:t>Percentage of patients</w:t>
            </w:r>
          </w:p>
        </w:tc>
      </w:tr>
      <w:tr w:rsidR="00F2265F" w:rsidRPr="00F2265F" w:rsidTr="008C5084">
        <w:trPr>
          <w:trHeight w:val="300"/>
        </w:trPr>
        <w:tc>
          <w:tcPr>
            <w:tcW w:w="2500" w:type="dxa"/>
            <w:noWrap/>
            <w:hideMark/>
          </w:tcPr>
          <w:p w:rsidR="00F2265F" w:rsidRPr="00F2265F" w:rsidRDefault="00F2265F" w:rsidP="00F2265F">
            <w:pPr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No pain</w:t>
            </w:r>
          </w:p>
        </w:tc>
        <w:tc>
          <w:tcPr>
            <w:tcW w:w="1123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312</w:t>
            </w:r>
          </w:p>
        </w:tc>
        <w:tc>
          <w:tcPr>
            <w:tcW w:w="1045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21</w:t>
            </w:r>
          </w:p>
        </w:tc>
        <w:tc>
          <w:tcPr>
            <w:tcW w:w="1284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67</w:t>
            </w:r>
          </w:p>
        </w:tc>
        <w:tc>
          <w:tcPr>
            <w:tcW w:w="1276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409</w:t>
            </w:r>
          </w:p>
        </w:tc>
        <w:tc>
          <w:tcPr>
            <w:tcW w:w="1559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83.12</w:t>
            </w:r>
          </w:p>
        </w:tc>
      </w:tr>
      <w:tr w:rsidR="00F2265F" w:rsidRPr="00F2265F" w:rsidTr="008C5084">
        <w:trPr>
          <w:trHeight w:val="300"/>
        </w:trPr>
        <w:tc>
          <w:tcPr>
            <w:tcW w:w="2500" w:type="dxa"/>
            <w:noWrap/>
            <w:hideMark/>
          </w:tcPr>
          <w:p w:rsidR="00F2265F" w:rsidRPr="00F2265F" w:rsidRDefault="00F2265F" w:rsidP="00F2265F">
            <w:pPr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Mild pain</w:t>
            </w:r>
          </w:p>
        </w:tc>
        <w:tc>
          <w:tcPr>
            <w:tcW w:w="1123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2</w:t>
            </w:r>
          </w:p>
        </w:tc>
        <w:tc>
          <w:tcPr>
            <w:tcW w:w="1284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62</w:t>
            </w:r>
          </w:p>
        </w:tc>
        <w:tc>
          <w:tcPr>
            <w:tcW w:w="1559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12.6</w:t>
            </w:r>
          </w:p>
        </w:tc>
      </w:tr>
      <w:tr w:rsidR="00F2265F" w:rsidRPr="00F2265F" w:rsidTr="008C5084">
        <w:trPr>
          <w:trHeight w:val="300"/>
        </w:trPr>
        <w:tc>
          <w:tcPr>
            <w:tcW w:w="2500" w:type="dxa"/>
            <w:noWrap/>
            <w:hideMark/>
          </w:tcPr>
          <w:p w:rsidR="00F2265F" w:rsidRPr="00F2265F" w:rsidRDefault="00F2265F" w:rsidP="00F2265F">
            <w:pPr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Moderate pain</w:t>
            </w:r>
          </w:p>
        </w:tc>
        <w:tc>
          <w:tcPr>
            <w:tcW w:w="1123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17</w:t>
            </w:r>
          </w:p>
        </w:tc>
        <w:tc>
          <w:tcPr>
            <w:tcW w:w="1045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4.26</w:t>
            </w:r>
          </w:p>
        </w:tc>
      </w:tr>
      <w:tr w:rsidR="00F2265F" w:rsidRPr="00F2265F" w:rsidTr="008C5084">
        <w:trPr>
          <w:trHeight w:val="300"/>
        </w:trPr>
        <w:tc>
          <w:tcPr>
            <w:tcW w:w="2500" w:type="dxa"/>
            <w:noWrap/>
            <w:hideMark/>
          </w:tcPr>
          <w:p w:rsidR="00F2265F" w:rsidRPr="00F2265F" w:rsidRDefault="00F2265F" w:rsidP="00F2265F">
            <w:pPr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Severe pain</w:t>
            </w:r>
          </w:p>
        </w:tc>
        <w:tc>
          <w:tcPr>
            <w:tcW w:w="1123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0.2</w:t>
            </w:r>
          </w:p>
        </w:tc>
      </w:tr>
      <w:tr w:rsidR="00F2265F" w:rsidRPr="00F2265F" w:rsidTr="008C5084">
        <w:trPr>
          <w:trHeight w:val="300"/>
        </w:trPr>
        <w:tc>
          <w:tcPr>
            <w:tcW w:w="2500" w:type="dxa"/>
            <w:noWrap/>
            <w:hideMark/>
          </w:tcPr>
          <w:p w:rsidR="00F2265F" w:rsidRPr="00F2265F" w:rsidRDefault="00F2265F" w:rsidP="00F2265F">
            <w:pPr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 xml:space="preserve">Very severe pain </w:t>
            </w:r>
          </w:p>
        </w:tc>
        <w:tc>
          <w:tcPr>
            <w:tcW w:w="1123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045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</w:tr>
      <w:tr w:rsidR="00F2265F" w:rsidRPr="00F2265F" w:rsidTr="008C5084">
        <w:trPr>
          <w:trHeight w:val="300"/>
        </w:trPr>
        <w:tc>
          <w:tcPr>
            <w:tcW w:w="2500" w:type="dxa"/>
            <w:noWrap/>
            <w:hideMark/>
          </w:tcPr>
          <w:p w:rsidR="00F2265F" w:rsidRPr="00F2265F" w:rsidRDefault="00F2265F" w:rsidP="00F2265F">
            <w:pPr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Worst possible pain</w:t>
            </w:r>
          </w:p>
        </w:tc>
        <w:tc>
          <w:tcPr>
            <w:tcW w:w="1123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045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F2265F" w:rsidRPr="00F2265F" w:rsidRDefault="00F2265F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2265F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</w:tr>
      <w:tr w:rsidR="008C5084" w:rsidRPr="008C5084" w:rsidTr="008C5084">
        <w:trPr>
          <w:trHeight w:val="300"/>
        </w:trPr>
        <w:tc>
          <w:tcPr>
            <w:tcW w:w="2500" w:type="dxa"/>
            <w:noWrap/>
          </w:tcPr>
          <w:p w:rsidR="008C5084" w:rsidRPr="008C5084" w:rsidRDefault="008C5084" w:rsidP="00F2265F">
            <w:pPr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Total (N)</w:t>
            </w:r>
          </w:p>
        </w:tc>
        <w:tc>
          <w:tcPr>
            <w:tcW w:w="1123" w:type="dxa"/>
            <w:noWrap/>
          </w:tcPr>
          <w:p w:rsidR="008C5084" w:rsidRPr="008C5084" w:rsidRDefault="008C5084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365</w:t>
            </w:r>
          </w:p>
        </w:tc>
        <w:tc>
          <w:tcPr>
            <w:tcW w:w="1045" w:type="dxa"/>
            <w:noWrap/>
          </w:tcPr>
          <w:p w:rsidR="008C5084" w:rsidRPr="008C5084" w:rsidRDefault="008C5084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12</w:t>
            </w:r>
          </w:p>
        </w:tc>
        <w:tc>
          <w:tcPr>
            <w:tcW w:w="960" w:type="dxa"/>
            <w:noWrap/>
          </w:tcPr>
          <w:p w:rsidR="008C5084" w:rsidRPr="008C5084" w:rsidRDefault="008C5084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23</w:t>
            </w:r>
          </w:p>
        </w:tc>
        <w:tc>
          <w:tcPr>
            <w:tcW w:w="1284" w:type="dxa"/>
            <w:noWrap/>
          </w:tcPr>
          <w:p w:rsidR="008C5084" w:rsidRPr="008C5084" w:rsidRDefault="008C5084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93</w:t>
            </w:r>
          </w:p>
        </w:tc>
        <w:tc>
          <w:tcPr>
            <w:tcW w:w="1276" w:type="dxa"/>
            <w:noWrap/>
          </w:tcPr>
          <w:p w:rsidR="008C5084" w:rsidRPr="008C5084" w:rsidRDefault="008C5084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493</w:t>
            </w:r>
          </w:p>
        </w:tc>
        <w:tc>
          <w:tcPr>
            <w:tcW w:w="1559" w:type="dxa"/>
            <w:noWrap/>
          </w:tcPr>
          <w:p w:rsidR="008C5084" w:rsidRPr="008C5084" w:rsidRDefault="008C5084" w:rsidP="008C5084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</w:tr>
    </w:tbl>
    <w:p w:rsidR="006F2225" w:rsidRDefault="006F2225" w:rsidP="006F2225">
      <w:pPr>
        <w:pStyle w:val="Heading1"/>
      </w:pPr>
      <w:r>
        <w:t>Conclusion</w:t>
      </w:r>
    </w:p>
    <w:p w:rsidR="00497113" w:rsidRDefault="006F2225" w:rsidP="006F2225">
      <w:pPr>
        <w:jc w:val="both"/>
      </w:pPr>
      <w:r>
        <w:t>In our study, use of succinate buffer</w:t>
      </w:r>
      <w:r w:rsidR="004E560E">
        <w:t xml:space="preserve"> </w:t>
      </w:r>
      <w:r w:rsidR="004E560E" w:rsidRPr="0036283B">
        <w:t>adalimumab (</w:t>
      </w:r>
      <w:proofErr w:type="spellStart"/>
      <w:r w:rsidR="004E560E" w:rsidRPr="0036283B">
        <w:t>Exemptia</w:t>
      </w:r>
      <w:proofErr w:type="spellEnd"/>
      <w:r w:rsidR="004E560E">
        <w:rPr>
          <w:rFonts w:cstheme="minorHAnsi"/>
        </w:rPr>
        <w:t>™</w:t>
      </w:r>
      <w:r w:rsidR="004E560E" w:rsidRPr="0036283B">
        <w:t>) injection</w:t>
      </w:r>
      <w:r w:rsidR="004E560E">
        <w:t xml:space="preserve"> </w:t>
      </w:r>
      <w:r>
        <w:t xml:space="preserve">was associated with </w:t>
      </w:r>
      <w:r w:rsidR="004E560E">
        <w:t xml:space="preserve">no pain or mild </w:t>
      </w:r>
      <w:r>
        <w:t xml:space="preserve">pain. The outcome of this pilot study needs to </w:t>
      </w:r>
      <w:proofErr w:type="gramStart"/>
      <w:r>
        <w:t>be confirmed</w:t>
      </w:r>
      <w:proofErr w:type="gramEnd"/>
      <w:r>
        <w:t xml:space="preserve"> with a larger control-group trial.</w:t>
      </w:r>
    </w:p>
    <w:p w:rsidR="001C5B1A" w:rsidRDefault="005E4A22" w:rsidP="005E4A22">
      <w:pPr>
        <w:pStyle w:val="Heading1"/>
      </w:pPr>
      <w:r>
        <w:t>References</w:t>
      </w:r>
    </w:p>
    <w:p w:rsidR="006A39D5" w:rsidRPr="006A39D5" w:rsidRDefault="006A39D5" w:rsidP="006A39D5">
      <w:pPr>
        <w:pStyle w:val="ListParagraph"/>
        <w:numPr>
          <w:ilvl w:val="0"/>
          <w:numId w:val="1"/>
        </w:numPr>
        <w:rPr>
          <w:sz w:val="18"/>
        </w:rPr>
      </w:pPr>
      <w:proofErr w:type="spellStart"/>
      <w:r w:rsidRPr="006A39D5">
        <w:rPr>
          <w:sz w:val="18"/>
        </w:rPr>
        <w:t>Laursen</w:t>
      </w:r>
      <w:proofErr w:type="spellEnd"/>
      <w:r w:rsidRPr="006A39D5">
        <w:rPr>
          <w:sz w:val="18"/>
        </w:rPr>
        <w:t xml:space="preserve"> T, Hansen B, </w:t>
      </w:r>
      <w:proofErr w:type="spellStart"/>
      <w:r w:rsidRPr="006A39D5">
        <w:rPr>
          <w:sz w:val="18"/>
        </w:rPr>
        <w:t>Fisker</w:t>
      </w:r>
      <w:proofErr w:type="spellEnd"/>
      <w:r w:rsidRPr="006A39D5">
        <w:rPr>
          <w:sz w:val="18"/>
        </w:rPr>
        <w:t xml:space="preserve"> S. Pain perception after subcutaneous injections of media containing different buffers. Basic Clin </w:t>
      </w:r>
      <w:proofErr w:type="spellStart"/>
      <w:r w:rsidRPr="006A39D5">
        <w:rPr>
          <w:sz w:val="18"/>
        </w:rPr>
        <w:t>Pharmacol</w:t>
      </w:r>
      <w:proofErr w:type="spellEnd"/>
      <w:r w:rsidRPr="006A39D5">
        <w:rPr>
          <w:sz w:val="18"/>
        </w:rPr>
        <w:t xml:space="preserve"> </w:t>
      </w:r>
      <w:proofErr w:type="spellStart"/>
      <w:r w:rsidRPr="006A39D5">
        <w:rPr>
          <w:sz w:val="18"/>
        </w:rPr>
        <w:t>Toxicol</w:t>
      </w:r>
      <w:proofErr w:type="spellEnd"/>
      <w:r w:rsidRPr="006A39D5">
        <w:rPr>
          <w:sz w:val="18"/>
        </w:rPr>
        <w:t>. 2006 Feb</w:t>
      </w:r>
      <w:proofErr w:type="gramStart"/>
      <w:r w:rsidRPr="006A39D5">
        <w:rPr>
          <w:sz w:val="18"/>
        </w:rPr>
        <w:t>;98</w:t>
      </w:r>
      <w:proofErr w:type="gramEnd"/>
      <w:r w:rsidRPr="006A39D5">
        <w:rPr>
          <w:sz w:val="18"/>
        </w:rPr>
        <w:t>(2):218-21.</w:t>
      </w:r>
    </w:p>
    <w:p w:rsidR="006A39D5" w:rsidRPr="006A39D5" w:rsidRDefault="006A39D5" w:rsidP="006A39D5">
      <w:pPr>
        <w:pStyle w:val="ListParagraph"/>
        <w:numPr>
          <w:ilvl w:val="0"/>
          <w:numId w:val="1"/>
        </w:numPr>
        <w:rPr>
          <w:sz w:val="18"/>
        </w:rPr>
      </w:pPr>
      <w:r w:rsidRPr="006A39D5">
        <w:rPr>
          <w:sz w:val="18"/>
        </w:rPr>
        <w:t xml:space="preserve">Yu AW, Leung CB, Li PK, et al. Pain perception following subcutaneous injections of citrate-buffered and phosphate-buffered </w:t>
      </w:r>
      <w:proofErr w:type="spellStart"/>
      <w:r w:rsidRPr="006A39D5">
        <w:rPr>
          <w:sz w:val="18"/>
        </w:rPr>
        <w:t>epoetin</w:t>
      </w:r>
      <w:proofErr w:type="spellEnd"/>
      <w:r w:rsidRPr="006A39D5">
        <w:rPr>
          <w:sz w:val="18"/>
        </w:rPr>
        <w:t xml:space="preserve"> alpha. </w:t>
      </w:r>
      <w:proofErr w:type="spellStart"/>
      <w:r w:rsidRPr="006A39D5">
        <w:rPr>
          <w:sz w:val="18"/>
        </w:rPr>
        <w:t>Int</w:t>
      </w:r>
      <w:proofErr w:type="spellEnd"/>
      <w:r w:rsidRPr="006A39D5">
        <w:rPr>
          <w:sz w:val="18"/>
        </w:rPr>
        <w:t xml:space="preserve"> J </w:t>
      </w:r>
      <w:proofErr w:type="spellStart"/>
      <w:r w:rsidRPr="006A39D5">
        <w:rPr>
          <w:sz w:val="18"/>
        </w:rPr>
        <w:t>Artif</w:t>
      </w:r>
      <w:proofErr w:type="spellEnd"/>
      <w:r w:rsidRPr="006A39D5">
        <w:rPr>
          <w:sz w:val="18"/>
        </w:rPr>
        <w:t xml:space="preserve"> Organs. 1998 Jun</w:t>
      </w:r>
      <w:proofErr w:type="gramStart"/>
      <w:r w:rsidRPr="006A39D5">
        <w:rPr>
          <w:sz w:val="18"/>
        </w:rPr>
        <w:t>;21</w:t>
      </w:r>
      <w:proofErr w:type="gramEnd"/>
      <w:r w:rsidRPr="006A39D5">
        <w:rPr>
          <w:sz w:val="18"/>
        </w:rPr>
        <w:t xml:space="preserve">(6):341-3. </w:t>
      </w:r>
    </w:p>
    <w:p w:rsidR="006A39D5" w:rsidRPr="006A39D5" w:rsidRDefault="006A39D5" w:rsidP="006A39D5">
      <w:pPr>
        <w:pStyle w:val="ListParagraph"/>
        <w:numPr>
          <w:ilvl w:val="0"/>
          <w:numId w:val="1"/>
        </w:numPr>
        <w:rPr>
          <w:sz w:val="18"/>
        </w:rPr>
      </w:pPr>
      <w:proofErr w:type="spellStart"/>
      <w:r w:rsidRPr="006A39D5">
        <w:rPr>
          <w:sz w:val="18"/>
        </w:rPr>
        <w:t>Veys</w:t>
      </w:r>
      <w:proofErr w:type="spellEnd"/>
      <w:r w:rsidRPr="006A39D5">
        <w:rPr>
          <w:sz w:val="18"/>
        </w:rPr>
        <w:t xml:space="preserve"> N, </w:t>
      </w:r>
      <w:proofErr w:type="spellStart"/>
      <w:r w:rsidRPr="006A39D5">
        <w:rPr>
          <w:sz w:val="18"/>
        </w:rPr>
        <w:t>Dhondt</w:t>
      </w:r>
      <w:proofErr w:type="spellEnd"/>
      <w:r w:rsidRPr="006A39D5">
        <w:rPr>
          <w:sz w:val="18"/>
        </w:rPr>
        <w:t xml:space="preserve"> A, </w:t>
      </w:r>
      <w:proofErr w:type="spellStart"/>
      <w:proofErr w:type="gramStart"/>
      <w:r w:rsidRPr="006A39D5">
        <w:rPr>
          <w:sz w:val="18"/>
        </w:rPr>
        <w:t>Lameire</w:t>
      </w:r>
      <w:proofErr w:type="spellEnd"/>
      <w:proofErr w:type="gramEnd"/>
      <w:r w:rsidRPr="006A39D5">
        <w:rPr>
          <w:sz w:val="18"/>
        </w:rPr>
        <w:t xml:space="preserve"> N. Pain at the injection site of subcutaneously administered erythropoietin: phosphate-buffered </w:t>
      </w:r>
      <w:proofErr w:type="spellStart"/>
      <w:r w:rsidRPr="006A39D5">
        <w:rPr>
          <w:sz w:val="18"/>
        </w:rPr>
        <w:t>epoetin</w:t>
      </w:r>
      <w:proofErr w:type="spellEnd"/>
      <w:r w:rsidRPr="006A39D5">
        <w:rPr>
          <w:sz w:val="18"/>
        </w:rPr>
        <w:t xml:space="preserve"> alpha compared to citrate-buffered </w:t>
      </w:r>
      <w:proofErr w:type="spellStart"/>
      <w:r w:rsidRPr="006A39D5">
        <w:rPr>
          <w:sz w:val="18"/>
        </w:rPr>
        <w:t>epoetin</w:t>
      </w:r>
      <w:proofErr w:type="spellEnd"/>
      <w:r w:rsidRPr="006A39D5">
        <w:rPr>
          <w:sz w:val="18"/>
        </w:rPr>
        <w:t xml:space="preserve"> alpha and </w:t>
      </w:r>
      <w:proofErr w:type="spellStart"/>
      <w:r w:rsidRPr="006A39D5">
        <w:rPr>
          <w:sz w:val="18"/>
        </w:rPr>
        <w:t>epoetin</w:t>
      </w:r>
      <w:proofErr w:type="spellEnd"/>
      <w:r w:rsidRPr="006A39D5">
        <w:rPr>
          <w:sz w:val="18"/>
        </w:rPr>
        <w:t xml:space="preserve"> beta. Clin </w:t>
      </w:r>
      <w:proofErr w:type="spellStart"/>
      <w:r w:rsidRPr="006A39D5">
        <w:rPr>
          <w:sz w:val="18"/>
        </w:rPr>
        <w:t>Nephrol</w:t>
      </w:r>
      <w:proofErr w:type="spellEnd"/>
      <w:r w:rsidRPr="006A39D5">
        <w:rPr>
          <w:sz w:val="18"/>
        </w:rPr>
        <w:t>. 1998 Jan</w:t>
      </w:r>
      <w:proofErr w:type="gramStart"/>
      <w:r w:rsidRPr="006A39D5">
        <w:rPr>
          <w:sz w:val="18"/>
        </w:rPr>
        <w:t>;49</w:t>
      </w:r>
      <w:proofErr w:type="gramEnd"/>
      <w:r w:rsidRPr="006A39D5">
        <w:rPr>
          <w:sz w:val="18"/>
        </w:rPr>
        <w:t>(1):41-4.</w:t>
      </w:r>
    </w:p>
    <w:p w:rsidR="006A39D5" w:rsidRPr="006A39D5" w:rsidRDefault="006A39D5" w:rsidP="006A39D5">
      <w:pPr>
        <w:pStyle w:val="ListParagraph"/>
        <w:numPr>
          <w:ilvl w:val="0"/>
          <w:numId w:val="1"/>
        </w:numPr>
        <w:rPr>
          <w:sz w:val="18"/>
        </w:rPr>
      </w:pPr>
      <w:proofErr w:type="spellStart"/>
      <w:r w:rsidRPr="006A39D5">
        <w:rPr>
          <w:sz w:val="18"/>
        </w:rPr>
        <w:lastRenderedPageBreak/>
        <w:t>Frenken</w:t>
      </w:r>
      <w:proofErr w:type="spellEnd"/>
      <w:r w:rsidRPr="006A39D5">
        <w:rPr>
          <w:sz w:val="18"/>
        </w:rPr>
        <w:t xml:space="preserve"> </w:t>
      </w:r>
      <w:proofErr w:type="gramStart"/>
      <w:r w:rsidRPr="006A39D5">
        <w:rPr>
          <w:sz w:val="18"/>
        </w:rPr>
        <w:t>LA ,</w:t>
      </w:r>
      <w:proofErr w:type="gramEnd"/>
      <w:r w:rsidRPr="006A39D5">
        <w:rPr>
          <w:sz w:val="18"/>
        </w:rPr>
        <w:t xml:space="preserve"> van </w:t>
      </w:r>
      <w:proofErr w:type="spellStart"/>
      <w:r w:rsidRPr="006A39D5">
        <w:rPr>
          <w:sz w:val="18"/>
        </w:rPr>
        <w:t>Lier</w:t>
      </w:r>
      <w:proofErr w:type="spellEnd"/>
      <w:r w:rsidRPr="006A39D5">
        <w:rPr>
          <w:sz w:val="18"/>
        </w:rPr>
        <w:t xml:space="preserve"> HJ, </w:t>
      </w:r>
      <w:proofErr w:type="spellStart"/>
      <w:r w:rsidRPr="006A39D5">
        <w:rPr>
          <w:sz w:val="18"/>
        </w:rPr>
        <w:t>Jordans</w:t>
      </w:r>
      <w:proofErr w:type="spellEnd"/>
      <w:r w:rsidRPr="006A39D5">
        <w:rPr>
          <w:sz w:val="18"/>
        </w:rPr>
        <w:t xml:space="preserve"> JG, et al. Identification of the component part in an </w:t>
      </w:r>
      <w:proofErr w:type="spellStart"/>
      <w:r w:rsidRPr="006A39D5">
        <w:rPr>
          <w:sz w:val="18"/>
        </w:rPr>
        <w:t>epoetin</w:t>
      </w:r>
      <w:proofErr w:type="spellEnd"/>
      <w:r w:rsidRPr="006A39D5">
        <w:rPr>
          <w:sz w:val="18"/>
        </w:rPr>
        <w:t xml:space="preserve"> </w:t>
      </w:r>
      <w:proofErr w:type="spellStart"/>
      <w:r w:rsidRPr="006A39D5">
        <w:rPr>
          <w:sz w:val="18"/>
        </w:rPr>
        <w:t>alfa</w:t>
      </w:r>
      <w:proofErr w:type="spellEnd"/>
      <w:r w:rsidRPr="006A39D5">
        <w:rPr>
          <w:sz w:val="18"/>
        </w:rPr>
        <w:t xml:space="preserve"> preparation that causes pain after subcutaneous injection. Am J Kidney Dis. 1993 Oct</w:t>
      </w:r>
      <w:proofErr w:type="gramStart"/>
      <w:r w:rsidRPr="006A39D5">
        <w:rPr>
          <w:sz w:val="18"/>
        </w:rPr>
        <w:t>;22</w:t>
      </w:r>
      <w:proofErr w:type="gramEnd"/>
      <w:r w:rsidRPr="006A39D5">
        <w:rPr>
          <w:sz w:val="18"/>
        </w:rPr>
        <w:t>(4):553-6.</w:t>
      </w:r>
    </w:p>
    <w:p w:rsidR="006A39D5" w:rsidRPr="006A39D5" w:rsidRDefault="006A39D5" w:rsidP="006A39D5">
      <w:pPr>
        <w:pStyle w:val="ListParagraph"/>
        <w:numPr>
          <w:ilvl w:val="0"/>
          <w:numId w:val="1"/>
        </w:numPr>
        <w:rPr>
          <w:sz w:val="18"/>
        </w:rPr>
      </w:pPr>
      <w:proofErr w:type="spellStart"/>
      <w:r w:rsidRPr="006A39D5">
        <w:rPr>
          <w:sz w:val="18"/>
        </w:rPr>
        <w:t>Laursen</w:t>
      </w:r>
      <w:proofErr w:type="spellEnd"/>
      <w:r w:rsidRPr="006A39D5">
        <w:rPr>
          <w:sz w:val="18"/>
        </w:rPr>
        <w:t xml:space="preserve"> T, Hansen B, </w:t>
      </w:r>
      <w:proofErr w:type="spellStart"/>
      <w:r w:rsidRPr="006A39D5">
        <w:rPr>
          <w:sz w:val="18"/>
        </w:rPr>
        <w:t>Fisker</w:t>
      </w:r>
      <w:proofErr w:type="spellEnd"/>
      <w:r w:rsidRPr="006A39D5">
        <w:rPr>
          <w:sz w:val="18"/>
        </w:rPr>
        <w:t xml:space="preserve"> S. Pain perception after subcutaneous injections of media containing different buffers. Basic Clin </w:t>
      </w:r>
      <w:proofErr w:type="spellStart"/>
      <w:r w:rsidRPr="006A39D5">
        <w:rPr>
          <w:sz w:val="18"/>
        </w:rPr>
        <w:t>Pharmacol</w:t>
      </w:r>
      <w:proofErr w:type="spellEnd"/>
      <w:r w:rsidRPr="006A39D5">
        <w:rPr>
          <w:sz w:val="18"/>
        </w:rPr>
        <w:t xml:space="preserve"> </w:t>
      </w:r>
      <w:proofErr w:type="spellStart"/>
      <w:r w:rsidRPr="006A39D5">
        <w:rPr>
          <w:sz w:val="18"/>
        </w:rPr>
        <w:t>Toxicol</w:t>
      </w:r>
      <w:proofErr w:type="spellEnd"/>
      <w:r w:rsidRPr="006A39D5">
        <w:rPr>
          <w:sz w:val="18"/>
        </w:rPr>
        <w:t>. 2006 Feb</w:t>
      </w:r>
      <w:proofErr w:type="gramStart"/>
      <w:r w:rsidRPr="006A39D5">
        <w:rPr>
          <w:sz w:val="18"/>
        </w:rPr>
        <w:t>;98</w:t>
      </w:r>
      <w:proofErr w:type="gramEnd"/>
      <w:r w:rsidRPr="006A39D5">
        <w:rPr>
          <w:sz w:val="18"/>
        </w:rPr>
        <w:t>(2):218-21.</w:t>
      </w:r>
    </w:p>
    <w:p w:rsidR="006A39D5" w:rsidRDefault="006A39D5" w:rsidP="006A39D5">
      <w:pPr>
        <w:pStyle w:val="ListParagraph"/>
        <w:numPr>
          <w:ilvl w:val="0"/>
          <w:numId w:val="1"/>
        </w:numPr>
        <w:rPr>
          <w:sz w:val="18"/>
        </w:rPr>
      </w:pPr>
      <w:proofErr w:type="spellStart"/>
      <w:r w:rsidRPr="006A39D5">
        <w:rPr>
          <w:sz w:val="18"/>
        </w:rPr>
        <w:t>Napaporn</w:t>
      </w:r>
      <w:proofErr w:type="spellEnd"/>
      <w:r w:rsidRPr="006A39D5">
        <w:rPr>
          <w:sz w:val="18"/>
        </w:rPr>
        <w:t xml:space="preserve"> J, Thomas M, </w:t>
      </w:r>
      <w:proofErr w:type="spellStart"/>
      <w:r w:rsidRPr="006A39D5">
        <w:rPr>
          <w:sz w:val="18"/>
        </w:rPr>
        <w:t>Svetic</w:t>
      </w:r>
      <w:proofErr w:type="spellEnd"/>
      <w:r w:rsidRPr="006A39D5">
        <w:rPr>
          <w:sz w:val="18"/>
        </w:rPr>
        <w:t xml:space="preserve"> KA, et al. Assessment of the </w:t>
      </w:r>
      <w:proofErr w:type="spellStart"/>
      <w:r w:rsidRPr="006A39D5">
        <w:rPr>
          <w:sz w:val="18"/>
        </w:rPr>
        <w:t>myotoxicity</w:t>
      </w:r>
      <w:proofErr w:type="spellEnd"/>
      <w:r w:rsidRPr="006A39D5">
        <w:rPr>
          <w:sz w:val="18"/>
        </w:rPr>
        <w:t xml:space="preserve"> of pharmaceutical buffers using an in vitro muscle model: effect of pH, capacity, tonicity, and buffer type. . Pharm </w:t>
      </w:r>
      <w:proofErr w:type="spellStart"/>
      <w:r w:rsidRPr="006A39D5">
        <w:rPr>
          <w:sz w:val="18"/>
        </w:rPr>
        <w:t>Dev</w:t>
      </w:r>
      <w:proofErr w:type="spellEnd"/>
      <w:r w:rsidRPr="006A39D5">
        <w:rPr>
          <w:sz w:val="18"/>
        </w:rPr>
        <w:t xml:space="preserve"> Technol. 2000</w:t>
      </w:r>
      <w:proofErr w:type="gramStart"/>
      <w:r w:rsidRPr="006A39D5">
        <w:rPr>
          <w:sz w:val="18"/>
        </w:rPr>
        <w:t>;5</w:t>
      </w:r>
      <w:proofErr w:type="gramEnd"/>
      <w:r w:rsidRPr="006A39D5">
        <w:rPr>
          <w:sz w:val="18"/>
        </w:rPr>
        <w:t>(1):123-30.</w:t>
      </w:r>
    </w:p>
    <w:p w:rsidR="00F137E4" w:rsidRDefault="00F137E4" w:rsidP="00F137E4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Navarro-</w:t>
      </w:r>
      <w:proofErr w:type="spellStart"/>
      <w:r>
        <w:rPr>
          <w:sz w:val="18"/>
        </w:rPr>
        <w:t>Millán</w:t>
      </w:r>
      <w:proofErr w:type="spellEnd"/>
      <w:r>
        <w:rPr>
          <w:sz w:val="18"/>
        </w:rPr>
        <w:t xml:space="preserve"> I</w:t>
      </w:r>
      <w:r w:rsidRPr="00F137E4">
        <w:rPr>
          <w:sz w:val="18"/>
        </w:rPr>
        <w:t xml:space="preserve">, </w:t>
      </w:r>
      <w:proofErr w:type="spellStart"/>
      <w:r w:rsidRPr="00F137E4">
        <w:rPr>
          <w:sz w:val="18"/>
        </w:rPr>
        <w:t>Herrinton</w:t>
      </w:r>
      <w:proofErr w:type="spellEnd"/>
      <w:r w:rsidRPr="00F137E4">
        <w:rPr>
          <w:sz w:val="18"/>
        </w:rPr>
        <w:t xml:space="preserve"> </w:t>
      </w:r>
      <w:r>
        <w:rPr>
          <w:sz w:val="18"/>
        </w:rPr>
        <w:t>LJ, Chen L, et al.</w:t>
      </w:r>
      <w:r w:rsidRPr="00F137E4">
        <w:rPr>
          <w:sz w:val="18"/>
        </w:rPr>
        <w:t xml:space="preserve"> Comparative effectiveness of </w:t>
      </w:r>
      <w:proofErr w:type="spellStart"/>
      <w:r w:rsidRPr="00F137E4">
        <w:rPr>
          <w:sz w:val="18"/>
        </w:rPr>
        <w:t>etanercept</w:t>
      </w:r>
      <w:proofErr w:type="spellEnd"/>
      <w:r w:rsidRPr="00F137E4">
        <w:rPr>
          <w:sz w:val="18"/>
        </w:rPr>
        <w:t xml:space="preserve"> and adalimumab in patient reported outcomes and injection-related tolerability. </w:t>
      </w:r>
      <w:proofErr w:type="spellStart"/>
      <w:r w:rsidRPr="00F137E4">
        <w:rPr>
          <w:sz w:val="18"/>
        </w:rPr>
        <w:t>PLoS</w:t>
      </w:r>
      <w:proofErr w:type="spellEnd"/>
      <w:r w:rsidRPr="00F137E4">
        <w:rPr>
          <w:sz w:val="18"/>
        </w:rPr>
        <w:t xml:space="preserve"> One. 2016 Mar 23</w:t>
      </w:r>
      <w:proofErr w:type="gramStart"/>
      <w:r w:rsidRPr="00F137E4">
        <w:rPr>
          <w:sz w:val="18"/>
        </w:rPr>
        <w:t>;11</w:t>
      </w:r>
      <w:proofErr w:type="gramEnd"/>
      <w:r w:rsidRPr="00F137E4">
        <w:rPr>
          <w:sz w:val="18"/>
        </w:rPr>
        <w:t>(3):e0149781.</w:t>
      </w:r>
    </w:p>
    <w:p w:rsidR="007237ED" w:rsidRPr="00F137E4" w:rsidRDefault="007237ED" w:rsidP="00F137E4">
      <w:pPr>
        <w:pStyle w:val="ListParagraph"/>
        <w:numPr>
          <w:ilvl w:val="0"/>
          <w:numId w:val="1"/>
        </w:numPr>
        <w:rPr>
          <w:sz w:val="18"/>
        </w:rPr>
      </w:pPr>
      <w:r w:rsidRPr="008C5084">
        <w:rPr>
          <w:sz w:val="18"/>
        </w:rPr>
        <w:t xml:space="preserve">Visual Analog Scale and Verbal Pain Intensity Scale: From Pain Management: Theory and Practice, edited by RK </w:t>
      </w:r>
      <w:proofErr w:type="spellStart"/>
      <w:r w:rsidRPr="008C5084">
        <w:rPr>
          <w:sz w:val="18"/>
        </w:rPr>
        <w:t>Portenoy</w:t>
      </w:r>
      <w:proofErr w:type="spellEnd"/>
      <w:r w:rsidRPr="008C5084">
        <w:rPr>
          <w:sz w:val="18"/>
        </w:rPr>
        <w:t xml:space="preserve"> &amp; RM Tanner, copyright 1996 by Oxford University Press, Inc. Used by permission of Oxford University Press.</w:t>
      </w:r>
    </w:p>
    <w:sectPr w:rsidR="007237ED" w:rsidRPr="00F1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A9" w:rsidRDefault="00B727A9" w:rsidP="009639D7">
      <w:pPr>
        <w:spacing w:after="0" w:line="240" w:lineRule="auto"/>
      </w:pPr>
      <w:r>
        <w:separator/>
      </w:r>
    </w:p>
  </w:endnote>
  <w:endnote w:type="continuationSeparator" w:id="0">
    <w:p w:rsidR="00B727A9" w:rsidRDefault="00B727A9" w:rsidP="009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A9" w:rsidRDefault="00B727A9" w:rsidP="009639D7">
      <w:pPr>
        <w:spacing w:after="0" w:line="240" w:lineRule="auto"/>
      </w:pPr>
      <w:r>
        <w:separator/>
      </w:r>
    </w:p>
  </w:footnote>
  <w:footnote w:type="continuationSeparator" w:id="0">
    <w:p w:rsidR="00B727A9" w:rsidRDefault="00B727A9" w:rsidP="009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218"/>
    <w:multiLevelType w:val="hybridMultilevel"/>
    <w:tmpl w:val="1E5C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B9"/>
    <w:rsid w:val="000240F3"/>
    <w:rsid w:val="000B2528"/>
    <w:rsid w:val="000E32A2"/>
    <w:rsid w:val="000E33AB"/>
    <w:rsid w:val="0010786B"/>
    <w:rsid w:val="00110B71"/>
    <w:rsid w:val="0011384F"/>
    <w:rsid w:val="00115830"/>
    <w:rsid w:val="001304F1"/>
    <w:rsid w:val="001576A6"/>
    <w:rsid w:val="00177F42"/>
    <w:rsid w:val="001C5B1A"/>
    <w:rsid w:val="001C7CA4"/>
    <w:rsid w:val="001E0D90"/>
    <w:rsid w:val="00212721"/>
    <w:rsid w:val="00222192"/>
    <w:rsid w:val="0023113C"/>
    <w:rsid w:val="002A76DB"/>
    <w:rsid w:val="002B5311"/>
    <w:rsid w:val="002C0C68"/>
    <w:rsid w:val="002E54FB"/>
    <w:rsid w:val="00303FD6"/>
    <w:rsid w:val="00306EDF"/>
    <w:rsid w:val="00314B71"/>
    <w:rsid w:val="0036283B"/>
    <w:rsid w:val="0039256C"/>
    <w:rsid w:val="003C1C1F"/>
    <w:rsid w:val="00446682"/>
    <w:rsid w:val="00452C19"/>
    <w:rsid w:val="0049705A"/>
    <w:rsid w:val="00497113"/>
    <w:rsid w:val="004C0E20"/>
    <w:rsid w:val="004E560E"/>
    <w:rsid w:val="00504E74"/>
    <w:rsid w:val="00522C60"/>
    <w:rsid w:val="00561BB6"/>
    <w:rsid w:val="00576D64"/>
    <w:rsid w:val="005B5DE1"/>
    <w:rsid w:val="005E3CA2"/>
    <w:rsid w:val="005E4A22"/>
    <w:rsid w:val="00601B5B"/>
    <w:rsid w:val="0060400D"/>
    <w:rsid w:val="00606469"/>
    <w:rsid w:val="00610FC7"/>
    <w:rsid w:val="00655219"/>
    <w:rsid w:val="00661CC8"/>
    <w:rsid w:val="0067798D"/>
    <w:rsid w:val="006A39D5"/>
    <w:rsid w:val="006C0F5D"/>
    <w:rsid w:val="006F2225"/>
    <w:rsid w:val="00707499"/>
    <w:rsid w:val="007237ED"/>
    <w:rsid w:val="007353A7"/>
    <w:rsid w:val="00747ECD"/>
    <w:rsid w:val="0079085E"/>
    <w:rsid w:val="007F175B"/>
    <w:rsid w:val="007F29BB"/>
    <w:rsid w:val="007F6BC0"/>
    <w:rsid w:val="008C5084"/>
    <w:rsid w:val="008D230A"/>
    <w:rsid w:val="00907C01"/>
    <w:rsid w:val="009639D7"/>
    <w:rsid w:val="009B0904"/>
    <w:rsid w:val="009C5F67"/>
    <w:rsid w:val="009F661C"/>
    <w:rsid w:val="00A21381"/>
    <w:rsid w:val="00A628B9"/>
    <w:rsid w:val="00AB1EC1"/>
    <w:rsid w:val="00AE0E76"/>
    <w:rsid w:val="00AE327F"/>
    <w:rsid w:val="00B244F3"/>
    <w:rsid w:val="00B727A9"/>
    <w:rsid w:val="00BA59B0"/>
    <w:rsid w:val="00BB549A"/>
    <w:rsid w:val="00BE0F59"/>
    <w:rsid w:val="00C215D8"/>
    <w:rsid w:val="00C27EF4"/>
    <w:rsid w:val="00C62E2D"/>
    <w:rsid w:val="00C707F5"/>
    <w:rsid w:val="00C72B7C"/>
    <w:rsid w:val="00C92EC9"/>
    <w:rsid w:val="00CB0455"/>
    <w:rsid w:val="00CD4C58"/>
    <w:rsid w:val="00D90065"/>
    <w:rsid w:val="00DD66A1"/>
    <w:rsid w:val="00E40123"/>
    <w:rsid w:val="00EA2E39"/>
    <w:rsid w:val="00EB0A63"/>
    <w:rsid w:val="00F02EEC"/>
    <w:rsid w:val="00F137E4"/>
    <w:rsid w:val="00F2265F"/>
    <w:rsid w:val="00F33AFA"/>
    <w:rsid w:val="00F378F4"/>
    <w:rsid w:val="00FB1717"/>
    <w:rsid w:val="00FD13E6"/>
    <w:rsid w:val="00FE75CB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4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39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2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6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D7"/>
  </w:style>
  <w:style w:type="paragraph" w:styleId="Footer">
    <w:name w:val="footer"/>
    <w:basedOn w:val="Normal"/>
    <w:link w:val="FooterChar"/>
    <w:uiPriority w:val="99"/>
    <w:unhideWhenUsed/>
    <w:rsid w:val="0096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D7"/>
  </w:style>
  <w:style w:type="character" w:customStyle="1" w:styleId="apple-converted-space">
    <w:name w:val="apple-converted-space"/>
    <w:basedOn w:val="DefaultParagraphFont"/>
    <w:rsid w:val="00C27EF4"/>
  </w:style>
  <w:style w:type="character" w:customStyle="1" w:styleId="aqj">
    <w:name w:val="aqj"/>
    <w:basedOn w:val="DefaultParagraphFont"/>
    <w:rsid w:val="00C27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4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39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2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6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D7"/>
  </w:style>
  <w:style w:type="paragraph" w:styleId="Footer">
    <w:name w:val="footer"/>
    <w:basedOn w:val="Normal"/>
    <w:link w:val="FooterChar"/>
    <w:uiPriority w:val="99"/>
    <w:unhideWhenUsed/>
    <w:rsid w:val="0096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D7"/>
  </w:style>
  <w:style w:type="character" w:customStyle="1" w:styleId="apple-converted-space">
    <w:name w:val="apple-converted-space"/>
    <w:basedOn w:val="DefaultParagraphFont"/>
    <w:rsid w:val="00C27EF4"/>
  </w:style>
  <w:style w:type="character" w:customStyle="1" w:styleId="aqj">
    <w:name w:val="aqj"/>
    <w:basedOn w:val="DefaultParagraphFont"/>
    <w:rsid w:val="00C2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9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</a:t>
            </a:r>
            <a:r>
              <a:rPr lang="en-US" sz="1200" baseline="0"/>
              <a:t> 1. Distribution of patients according to verbal pain intensity scale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No pain</c:v>
                </c:pt>
                <c:pt idx="1">
                  <c:v>Mild pain</c:v>
                </c:pt>
                <c:pt idx="2">
                  <c:v>Moderate pain</c:v>
                </c:pt>
                <c:pt idx="3">
                  <c:v>Severe pain</c:v>
                </c:pt>
                <c:pt idx="4">
                  <c:v>Very severe pain </c:v>
                </c:pt>
                <c:pt idx="5">
                  <c:v>Worst possible pain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83.12</c:v>
                </c:pt>
                <c:pt idx="1">
                  <c:v>12.6</c:v>
                </c:pt>
                <c:pt idx="2">
                  <c:v>4.26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336192"/>
        <c:axId val="121338112"/>
      </c:barChart>
      <c:catAx>
        <c:axId val="121336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Verbal pain intensity scale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1338112"/>
        <c:crosses val="autoZero"/>
        <c:auto val="1"/>
        <c:lblAlgn val="ctr"/>
        <c:lblOffset val="100"/>
        <c:noMultiLvlLbl val="0"/>
      </c:catAx>
      <c:valAx>
        <c:axId val="1213381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 of patients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1336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</dc:creator>
  <cp:lastModifiedBy>Quantum</cp:lastModifiedBy>
  <cp:revision>5</cp:revision>
  <dcterms:created xsi:type="dcterms:W3CDTF">2016-08-31T04:57:00Z</dcterms:created>
  <dcterms:modified xsi:type="dcterms:W3CDTF">2016-08-31T07:13:00Z</dcterms:modified>
</cp:coreProperties>
</file>